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02F2" w14:textId="77777777" w:rsidR="00CE7579" w:rsidRDefault="00420738" w:rsidP="00D25DD6">
      <w:pPr>
        <w:autoSpaceDE w:val="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fr-FR" w:bidi="ar-SA"/>
        </w:rPr>
        <w:drawing>
          <wp:anchor distT="0" distB="0" distL="114300" distR="114300" simplePos="0" relativeHeight="251659264" behindDoc="0" locked="0" layoutInCell="1" allowOverlap="1" wp14:anchorId="4A4AFCD2" wp14:editId="39D1CF4B">
            <wp:simplePos x="0" y="0"/>
            <wp:positionH relativeFrom="column">
              <wp:posOffset>-329565</wp:posOffset>
            </wp:positionH>
            <wp:positionV relativeFrom="paragraph">
              <wp:posOffset>0</wp:posOffset>
            </wp:positionV>
            <wp:extent cx="3243896" cy="1891665"/>
            <wp:effectExtent l="0" t="0" r="0" b="0"/>
            <wp:wrapTight wrapText="bothSides">
              <wp:wrapPolygon edited="0">
                <wp:start x="0" y="0"/>
                <wp:lineTo x="0" y="21317"/>
                <wp:lineTo x="21439" y="21317"/>
                <wp:lineTo x="21439" y="0"/>
                <wp:lineTo x="0" y="0"/>
              </wp:wrapPolygon>
            </wp:wrapTight>
            <wp:docPr id="2" name="Image 2" descr="C:\Users\cfailly\AppData\Local\Microsoft\Windows\Temporary Internet Files\Content.Outlook\0OSI198V\Logo Grand Perigueux RVB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cfailly\AppData\Local\Microsoft\Windows\Temporary Internet Files\Content.Outlook\0OSI198V\Logo Grand Perigueux RVB 150%.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3896" cy="1891665"/>
                    </a:xfrm>
                    <a:prstGeom prst="rect">
                      <a:avLst/>
                    </a:prstGeom>
                    <a:noFill/>
                    <a:ln>
                      <a:noFill/>
                    </a:ln>
                  </pic:spPr>
                </pic:pic>
              </a:graphicData>
            </a:graphic>
          </wp:anchor>
        </w:drawing>
      </w:r>
    </w:p>
    <w:p w14:paraId="187BE5B1" w14:textId="77777777" w:rsidR="00420738" w:rsidRPr="00041CB1" w:rsidRDefault="00420738" w:rsidP="00D25DD6">
      <w:pPr>
        <w:autoSpaceDE w:val="0"/>
        <w:rPr>
          <w:rFonts w:ascii="Times New Roman" w:eastAsia="Times New Roman" w:hAnsi="Times New Roman" w:cs="Times New Roman"/>
          <w:sz w:val="28"/>
          <w:szCs w:val="28"/>
        </w:rPr>
      </w:pPr>
    </w:p>
    <w:p w14:paraId="642780BB" w14:textId="77777777" w:rsidR="00420738" w:rsidRDefault="00420738" w:rsidP="00CE7579">
      <w:pPr>
        <w:autoSpaceDE w:val="0"/>
        <w:jc w:val="center"/>
        <w:rPr>
          <w:rFonts w:asciiTheme="minorHAnsi" w:eastAsia="Times New Roman" w:hAnsiTheme="minorHAnsi" w:cs="Times New Roman"/>
          <w:b/>
          <w:sz w:val="28"/>
          <w:szCs w:val="28"/>
        </w:rPr>
      </w:pPr>
    </w:p>
    <w:p w14:paraId="5A826012" w14:textId="77777777" w:rsidR="00420738" w:rsidRDefault="00420738" w:rsidP="00CE7579">
      <w:pPr>
        <w:autoSpaceDE w:val="0"/>
        <w:jc w:val="center"/>
        <w:rPr>
          <w:rFonts w:asciiTheme="minorHAnsi" w:eastAsia="Times New Roman" w:hAnsiTheme="minorHAnsi" w:cs="Times New Roman"/>
          <w:b/>
          <w:sz w:val="28"/>
          <w:szCs w:val="28"/>
        </w:rPr>
      </w:pPr>
    </w:p>
    <w:p w14:paraId="56AC8015" w14:textId="77777777" w:rsidR="00420738" w:rsidRDefault="00420738" w:rsidP="00CE7579">
      <w:pPr>
        <w:autoSpaceDE w:val="0"/>
        <w:jc w:val="center"/>
        <w:rPr>
          <w:rFonts w:asciiTheme="minorHAnsi" w:eastAsia="Times New Roman" w:hAnsiTheme="minorHAnsi" w:cs="Times New Roman"/>
          <w:b/>
          <w:sz w:val="28"/>
          <w:szCs w:val="28"/>
        </w:rPr>
      </w:pPr>
    </w:p>
    <w:p w14:paraId="32BA94E6" w14:textId="77777777" w:rsidR="00420738" w:rsidRDefault="00420738" w:rsidP="00CE7579">
      <w:pPr>
        <w:autoSpaceDE w:val="0"/>
        <w:jc w:val="center"/>
        <w:rPr>
          <w:rFonts w:asciiTheme="minorHAnsi" w:eastAsia="Times New Roman" w:hAnsiTheme="minorHAnsi" w:cs="Times New Roman"/>
          <w:b/>
          <w:sz w:val="28"/>
          <w:szCs w:val="28"/>
        </w:rPr>
      </w:pPr>
    </w:p>
    <w:p w14:paraId="3AEF0B47" w14:textId="77777777" w:rsidR="00420738" w:rsidRDefault="00420738" w:rsidP="00CE7579">
      <w:pPr>
        <w:autoSpaceDE w:val="0"/>
        <w:jc w:val="center"/>
        <w:rPr>
          <w:rFonts w:asciiTheme="minorHAnsi" w:eastAsia="Times New Roman" w:hAnsiTheme="minorHAnsi" w:cs="Times New Roman"/>
          <w:b/>
          <w:sz w:val="28"/>
          <w:szCs w:val="28"/>
        </w:rPr>
      </w:pPr>
    </w:p>
    <w:p w14:paraId="7F9086D2" w14:textId="77777777" w:rsidR="00420738" w:rsidRDefault="00420738" w:rsidP="00CE7579">
      <w:pPr>
        <w:autoSpaceDE w:val="0"/>
        <w:jc w:val="center"/>
        <w:rPr>
          <w:rFonts w:asciiTheme="minorHAnsi" w:eastAsia="Times New Roman" w:hAnsiTheme="minorHAnsi" w:cs="Times New Roman"/>
          <w:b/>
          <w:sz w:val="28"/>
          <w:szCs w:val="28"/>
        </w:rPr>
      </w:pPr>
    </w:p>
    <w:p w14:paraId="669112EF" w14:textId="77777777" w:rsidR="00420738" w:rsidRDefault="00420738" w:rsidP="00CE7579">
      <w:pPr>
        <w:autoSpaceDE w:val="0"/>
        <w:jc w:val="center"/>
        <w:rPr>
          <w:rFonts w:asciiTheme="minorHAnsi" w:eastAsia="Times New Roman" w:hAnsiTheme="minorHAnsi" w:cs="Times New Roman"/>
          <w:b/>
          <w:sz w:val="28"/>
          <w:szCs w:val="28"/>
        </w:rPr>
      </w:pPr>
    </w:p>
    <w:p w14:paraId="66904359" w14:textId="77777777" w:rsidR="00D37641" w:rsidRPr="00D25DD6" w:rsidRDefault="006F1234" w:rsidP="00CE7579">
      <w:pPr>
        <w:autoSpaceDE w:val="0"/>
        <w:jc w:val="center"/>
        <w:rPr>
          <w:rFonts w:asciiTheme="minorHAnsi" w:eastAsia="Times New Roman" w:hAnsiTheme="minorHAnsi" w:cs="Times New Roman"/>
          <w:b/>
          <w:sz w:val="28"/>
          <w:szCs w:val="28"/>
        </w:rPr>
      </w:pPr>
      <w:r w:rsidRPr="00D25DD6">
        <w:rPr>
          <w:rFonts w:asciiTheme="minorHAnsi" w:eastAsia="Times New Roman" w:hAnsiTheme="minorHAnsi" w:cs="Times New Roman"/>
          <w:b/>
          <w:sz w:val="28"/>
          <w:szCs w:val="28"/>
        </w:rPr>
        <w:t>COMMUNAUTE D’AGGLOMERATION DU GRAND PERIGUEUX</w:t>
      </w:r>
    </w:p>
    <w:p w14:paraId="47749615" w14:textId="77777777" w:rsidR="00C6702E" w:rsidRPr="00D25DD6" w:rsidRDefault="00420738" w:rsidP="005047F3">
      <w:pPr>
        <w:autoSpaceDE w:val="0"/>
        <w:jc w:val="center"/>
        <w:rPr>
          <w:rFonts w:ascii="Times New Roman" w:eastAsia="Times New Roman" w:hAnsi="Times New Roman" w:cs="Times New Roman"/>
          <w:b/>
          <w:sz w:val="28"/>
          <w:szCs w:val="28"/>
        </w:rPr>
      </w:pPr>
      <w:r>
        <w:rPr>
          <w:b/>
        </w:rPr>
        <w:t>Modification n°2</w:t>
      </w:r>
      <w:r w:rsidR="009470D1" w:rsidRPr="00D25DD6">
        <w:rPr>
          <w:b/>
        </w:rPr>
        <w:t xml:space="preserve"> du Plan Local d’Urbanisme intercommunal (PLUi)</w:t>
      </w:r>
    </w:p>
    <w:p w14:paraId="5EAE7AEB" w14:textId="77777777" w:rsidR="006F1234" w:rsidRPr="00041CB1" w:rsidRDefault="006F1234">
      <w:pPr>
        <w:autoSpaceDE w:val="0"/>
        <w:rPr>
          <w:rFonts w:ascii="Times New Roman" w:eastAsia="Times New Roman" w:hAnsi="Times New Roman" w:cs="Times New Roman"/>
          <w:sz w:val="28"/>
          <w:szCs w:val="28"/>
        </w:rPr>
      </w:pPr>
    </w:p>
    <w:p w14:paraId="66AE7AA9" w14:textId="77777777" w:rsidR="00CE7579" w:rsidRPr="00041CB1" w:rsidRDefault="00CE7579">
      <w:pPr>
        <w:autoSpaceDE w:val="0"/>
        <w:rPr>
          <w:rFonts w:ascii="Times New Roman" w:eastAsia="Times New Roman" w:hAnsi="Times New Roman" w:cs="Times New Roman"/>
          <w:sz w:val="28"/>
          <w:szCs w:val="28"/>
        </w:rPr>
      </w:pPr>
    </w:p>
    <w:p w14:paraId="4EA497CF" w14:textId="77777777" w:rsidR="00D37641" w:rsidRPr="00041CB1" w:rsidRDefault="00624F6B">
      <w:pPr>
        <w:autoSpaceDE w:val="0"/>
        <w:jc w:val="center"/>
        <w:rPr>
          <w:rFonts w:asciiTheme="minorHAnsi" w:eastAsia="Times New Roman" w:hAnsiTheme="minorHAnsi" w:cs="Times New Roman"/>
          <w:b/>
          <w:bCs/>
          <w:sz w:val="30"/>
        </w:rPr>
      </w:pPr>
      <w:r w:rsidRPr="00041CB1">
        <w:rPr>
          <w:rFonts w:asciiTheme="minorHAnsi" w:eastAsia="Times New Roman" w:hAnsiTheme="minorHAnsi" w:cs="Times New Roman"/>
          <w:b/>
          <w:bCs/>
          <w:sz w:val="44"/>
          <w:szCs w:val="32"/>
        </w:rPr>
        <w:t xml:space="preserve">AVIS </w:t>
      </w:r>
      <w:r w:rsidR="005047F3" w:rsidRPr="00041CB1">
        <w:rPr>
          <w:rFonts w:asciiTheme="minorHAnsi" w:eastAsia="Times New Roman" w:hAnsiTheme="minorHAnsi" w:cs="Times New Roman"/>
          <w:b/>
          <w:bCs/>
          <w:sz w:val="44"/>
          <w:szCs w:val="32"/>
        </w:rPr>
        <w:t>D’ENQUÊTE PUBLIQUE</w:t>
      </w:r>
    </w:p>
    <w:p w14:paraId="1B60C80D" w14:textId="77777777" w:rsidR="00D37641" w:rsidRPr="00041CB1" w:rsidRDefault="00D37641">
      <w:pPr>
        <w:autoSpaceDE w:val="0"/>
        <w:rPr>
          <w:rFonts w:eastAsia="Times New Roman" w:cs="Times New Roman"/>
          <w:b/>
          <w:bCs/>
        </w:rPr>
      </w:pPr>
    </w:p>
    <w:p w14:paraId="6AE76B1E" w14:textId="77777777" w:rsidR="00CE7579" w:rsidRPr="00041CB1" w:rsidRDefault="00CE7579">
      <w:pPr>
        <w:autoSpaceDE w:val="0"/>
        <w:rPr>
          <w:rFonts w:eastAsia="Times New Roman" w:cs="Times New Roman"/>
          <w:b/>
          <w:bCs/>
        </w:rPr>
      </w:pPr>
    </w:p>
    <w:p w14:paraId="4B055A47" w14:textId="05D253FF" w:rsidR="00D37641" w:rsidRDefault="005047F3" w:rsidP="00564D20">
      <w:pPr>
        <w:autoSpaceDE w:val="0"/>
        <w:ind w:right="-286"/>
        <w:jc w:val="both"/>
        <w:rPr>
          <w:rFonts w:eastAsia="Times New Roman" w:cs="Times New Roman"/>
          <w:sz w:val="22"/>
          <w:szCs w:val="22"/>
        </w:rPr>
      </w:pPr>
      <w:r w:rsidRPr="00041CB1">
        <w:rPr>
          <w:rFonts w:eastAsia="Times New Roman" w:cs="Times New Roman"/>
          <w:sz w:val="22"/>
          <w:szCs w:val="22"/>
        </w:rPr>
        <w:t>En application des di</w:t>
      </w:r>
      <w:r w:rsidR="00213976">
        <w:rPr>
          <w:rFonts w:eastAsia="Times New Roman" w:cs="Times New Roman"/>
          <w:sz w:val="22"/>
          <w:szCs w:val="22"/>
        </w:rPr>
        <w:t xml:space="preserve">spositions de l’arrêté </w:t>
      </w:r>
      <w:r w:rsidR="00213976" w:rsidRPr="00865002">
        <w:rPr>
          <w:rFonts w:eastAsia="Times New Roman" w:cs="Times New Roman"/>
          <w:sz w:val="22"/>
          <w:szCs w:val="22"/>
        </w:rPr>
        <w:t xml:space="preserve">n° </w:t>
      </w:r>
      <w:r w:rsidR="00BF0BE4" w:rsidRPr="00865002">
        <w:rPr>
          <w:rFonts w:eastAsia="Times New Roman" w:cs="Times New Roman"/>
          <w:sz w:val="22"/>
          <w:szCs w:val="22"/>
        </w:rPr>
        <w:t>ARR</w:t>
      </w:r>
      <w:r w:rsidR="00205747" w:rsidRPr="00865002">
        <w:rPr>
          <w:rFonts w:eastAsia="Times New Roman" w:cs="Times New Roman"/>
          <w:sz w:val="22"/>
          <w:szCs w:val="22"/>
        </w:rPr>
        <w:t>U</w:t>
      </w:r>
      <w:r w:rsidR="008E116A" w:rsidRPr="00865002">
        <w:rPr>
          <w:rFonts w:eastAsia="Times New Roman" w:cs="Times New Roman"/>
          <w:sz w:val="22"/>
          <w:szCs w:val="22"/>
        </w:rPr>
        <w:t>2022</w:t>
      </w:r>
      <w:r w:rsidR="00865002" w:rsidRPr="00865002">
        <w:rPr>
          <w:rFonts w:eastAsia="Times New Roman" w:cs="Times New Roman"/>
          <w:sz w:val="22"/>
          <w:szCs w:val="22"/>
        </w:rPr>
        <w:t>-007</w:t>
      </w:r>
      <w:r w:rsidRPr="00041CB1">
        <w:rPr>
          <w:rFonts w:eastAsia="Times New Roman" w:cs="Times New Roman"/>
          <w:sz w:val="22"/>
          <w:szCs w:val="22"/>
        </w:rPr>
        <w:t xml:space="preserve"> de M. le Président de la Communauté d’Agglomération d</w:t>
      </w:r>
      <w:r w:rsidR="00213976">
        <w:rPr>
          <w:rFonts w:eastAsia="Times New Roman" w:cs="Times New Roman"/>
          <w:sz w:val="22"/>
          <w:szCs w:val="22"/>
        </w:rPr>
        <w:t xml:space="preserve">u Grand Périgueux en date du </w:t>
      </w:r>
      <w:r w:rsidR="004F1FA7">
        <w:rPr>
          <w:rFonts w:eastAsia="Times New Roman" w:cs="Times New Roman"/>
          <w:sz w:val="22"/>
          <w:szCs w:val="22"/>
        </w:rPr>
        <w:t>10</w:t>
      </w:r>
      <w:bookmarkStart w:id="0" w:name="_GoBack"/>
      <w:bookmarkEnd w:id="0"/>
      <w:r w:rsidR="008E116A">
        <w:rPr>
          <w:rFonts w:eastAsia="Times New Roman" w:cs="Times New Roman"/>
          <w:sz w:val="22"/>
          <w:szCs w:val="22"/>
        </w:rPr>
        <w:t xml:space="preserve"> mai 2022</w:t>
      </w:r>
      <w:r w:rsidR="009A2FAC">
        <w:rPr>
          <w:rFonts w:eastAsia="Times New Roman" w:cs="Times New Roman"/>
          <w:sz w:val="22"/>
          <w:szCs w:val="22"/>
        </w:rPr>
        <w:t>, une enquête publique</w:t>
      </w:r>
      <w:r w:rsidR="00CB02E4">
        <w:rPr>
          <w:rFonts w:eastAsia="Times New Roman" w:cs="Times New Roman"/>
          <w:sz w:val="22"/>
          <w:szCs w:val="22"/>
        </w:rPr>
        <w:t xml:space="preserve"> </w:t>
      </w:r>
      <w:r w:rsidR="00564D20" w:rsidRPr="00041CB1">
        <w:rPr>
          <w:rFonts w:eastAsia="Times New Roman" w:cs="Times New Roman"/>
          <w:sz w:val="22"/>
          <w:szCs w:val="22"/>
        </w:rPr>
        <w:t xml:space="preserve">est ouverte sur le territoire de la </w:t>
      </w:r>
      <w:r w:rsidR="00DC5C9F">
        <w:rPr>
          <w:rFonts w:eastAsia="Times New Roman" w:cs="Times New Roman"/>
          <w:sz w:val="22"/>
          <w:szCs w:val="22"/>
        </w:rPr>
        <w:t>communauté d'agglomération du Grand Périgueux</w:t>
      </w:r>
      <w:r w:rsidR="00DE672D">
        <w:rPr>
          <w:rFonts w:eastAsia="Times New Roman" w:cs="Times New Roman"/>
          <w:sz w:val="22"/>
          <w:szCs w:val="22"/>
        </w:rPr>
        <w:t>,</w:t>
      </w:r>
      <w:r w:rsidR="00E773A9">
        <w:rPr>
          <w:rFonts w:eastAsia="Times New Roman" w:cs="Times New Roman"/>
          <w:sz w:val="22"/>
          <w:szCs w:val="22"/>
        </w:rPr>
        <w:t xml:space="preserve"> </w:t>
      </w:r>
      <w:r w:rsidR="00E26EB6" w:rsidRPr="00E26EB6">
        <w:rPr>
          <w:rFonts w:eastAsia="Times New Roman" w:cs="Times New Roman"/>
          <w:sz w:val="22"/>
          <w:szCs w:val="22"/>
        </w:rPr>
        <w:t xml:space="preserve">pour une durée de </w:t>
      </w:r>
      <w:r w:rsidR="009A2FAC">
        <w:rPr>
          <w:rFonts w:eastAsia="Times New Roman" w:cs="Times New Roman"/>
          <w:sz w:val="22"/>
          <w:szCs w:val="22"/>
        </w:rPr>
        <w:t>39</w:t>
      </w:r>
      <w:r w:rsidR="00E26EB6" w:rsidRPr="00E26EB6">
        <w:rPr>
          <w:rFonts w:eastAsia="Times New Roman" w:cs="Times New Roman"/>
          <w:sz w:val="22"/>
          <w:szCs w:val="22"/>
        </w:rPr>
        <w:t xml:space="preserve"> jours consécutifs, </w:t>
      </w:r>
      <w:r w:rsidR="009A2FAC" w:rsidRPr="009A2FAC">
        <w:rPr>
          <w:rFonts w:eastAsia="Times New Roman" w:cs="Times New Roman"/>
          <w:sz w:val="22"/>
          <w:szCs w:val="22"/>
        </w:rPr>
        <w:t>du lundi 30 mai 2022 à 9H00 au jeudi 7 juillet 2022 à 17H00, heure de Paris</w:t>
      </w:r>
      <w:r w:rsidR="00564D20" w:rsidRPr="00041CB1">
        <w:rPr>
          <w:rFonts w:eastAsia="Times New Roman" w:cs="Times New Roman"/>
          <w:sz w:val="22"/>
          <w:szCs w:val="22"/>
        </w:rPr>
        <w:t xml:space="preserve">, aux fins de soumettre au public </w:t>
      </w:r>
      <w:r w:rsidR="00DC5C9F" w:rsidRPr="00DC5C9F">
        <w:rPr>
          <w:rFonts w:eastAsia="Times New Roman" w:cs="Times New Roman"/>
          <w:sz w:val="22"/>
          <w:szCs w:val="22"/>
        </w:rPr>
        <w:t xml:space="preserve">les dispositions du projet de </w:t>
      </w:r>
      <w:r w:rsidR="009A2FAC">
        <w:rPr>
          <w:rFonts w:eastAsia="Times New Roman" w:cs="Times New Roman"/>
          <w:sz w:val="22"/>
          <w:szCs w:val="22"/>
        </w:rPr>
        <w:t xml:space="preserve">modification n°2 du </w:t>
      </w:r>
      <w:r w:rsidR="00DC5C9F" w:rsidRPr="00DC5C9F">
        <w:rPr>
          <w:rFonts w:eastAsia="Times New Roman" w:cs="Times New Roman"/>
          <w:sz w:val="22"/>
          <w:szCs w:val="22"/>
        </w:rPr>
        <w:t>Plan Local d’Urbanisme intercommunal de l’a</w:t>
      </w:r>
      <w:r w:rsidR="009A2FAC">
        <w:rPr>
          <w:rFonts w:eastAsia="Times New Roman" w:cs="Times New Roman"/>
          <w:sz w:val="22"/>
          <w:szCs w:val="22"/>
        </w:rPr>
        <w:t>gglomération du Grand Périgueux</w:t>
      </w:r>
      <w:r w:rsidR="00564D20" w:rsidRPr="00041CB1">
        <w:rPr>
          <w:rFonts w:eastAsia="Times New Roman" w:cs="Times New Roman"/>
          <w:sz w:val="22"/>
          <w:szCs w:val="22"/>
        </w:rPr>
        <w:t xml:space="preserve">. </w:t>
      </w:r>
    </w:p>
    <w:p w14:paraId="2219A3FE" w14:textId="1D83FCA9" w:rsidR="002A2407" w:rsidRDefault="002A2407" w:rsidP="00564D20">
      <w:pPr>
        <w:autoSpaceDE w:val="0"/>
        <w:ind w:right="-286"/>
        <w:jc w:val="both"/>
        <w:rPr>
          <w:rFonts w:eastAsia="Times New Roman" w:cs="Times New Roman"/>
          <w:sz w:val="22"/>
          <w:szCs w:val="22"/>
        </w:rPr>
      </w:pPr>
    </w:p>
    <w:p w14:paraId="276543B7" w14:textId="5FA78918" w:rsidR="00564D20" w:rsidRDefault="002A2407" w:rsidP="00564D20">
      <w:pPr>
        <w:autoSpaceDE w:val="0"/>
        <w:ind w:right="-286"/>
        <w:jc w:val="both"/>
        <w:rPr>
          <w:rFonts w:eastAsia="Times New Roman" w:cs="Times New Roman"/>
          <w:sz w:val="22"/>
          <w:szCs w:val="22"/>
        </w:rPr>
      </w:pPr>
      <w:r w:rsidRPr="002A2407">
        <w:rPr>
          <w:rFonts w:eastAsia="Times New Roman" w:cs="Times New Roman"/>
          <w:sz w:val="22"/>
          <w:szCs w:val="22"/>
        </w:rPr>
        <w:t xml:space="preserve">L’objectif poursuivi par la collectivité au travers de cette procédure </w:t>
      </w:r>
      <w:r>
        <w:rPr>
          <w:rFonts w:eastAsia="Times New Roman" w:cs="Times New Roman"/>
          <w:sz w:val="22"/>
          <w:szCs w:val="22"/>
        </w:rPr>
        <w:t>est</w:t>
      </w:r>
      <w:r w:rsidRPr="002A2407">
        <w:rPr>
          <w:rFonts w:eastAsia="Times New Roman" w:cs="Times New Roman"/>
          <w:sz w:val="22"/>
          <w:szCs w:val="22"/>
        </w:rPr>
        <w:t xml:space="preserve"> de corriger ou faire évoluer certaines orientations d’aménagement et de programmation (OAP)</w:t>
      </w:r>
      <w:r>
        <w:rPr>
          <w:rFonts w:eastAsia="Times New Roman" w:cs="Times New Roman"/>
          <w:sz w:val="22"/>
          <w:szCs w:val="22"/>
        </w:rPr>
        <w:t>,</w:t>
      </w:r>
      <w:r w:rsidRPr="002A2407">
        <w:rPr>
          <w:rFonts w:eastAsia="Times New Roman" w:cs="Times New Roman"/>
          <w:sz w:val="22"/>
          <w:szCs w:val="22"/>
        </w:rPr>
        <w:t xml:space="preserve"> et </w:t>
      </w:r>
      <w:r>
        <w:rPr>
          <w:rFonts w:eastAsia="Times New Roman" w:cs="Times New Roman"/>
          <w:sz w:val="22"/>
          <w:szCs w:val="22"/>
        </w:rPr>
        <w:t>l</w:t>
      </w:r>
      <w:r w:rsidRPr="002A2407">
        <w:rPr>
          <w:rFonts w:eastAsia="Times New Roman" w:cs="Times New Roman"/>
          <w:sz w:val="22"/>
          <w:szCs w:val="22"/>
        </w:rPr>
        <w:t>es règles qui régissent leur mise en œuvre.</w:t>
      </w:r>
    </w:p>
    <w:p w14:paraId="3B74E3EA" w14:textId="77777777" w:rsidR="002A2407" w:rsidRPr="00041CB1" w:rsidRDefault="002A2407" w:rsidP="00564D20">
      <w:pPr>
        <w:autoSpaceDE w:val="0"/>
        <w:ind w:right="-286"/>
        <w:jc w:val="both"/>
        <w:rPr>
          <w:rFonts w:eastAsia="Times New Roman" w:cs="Times New Roman"/>
          <w:sz w:val="22"/>
          <w:szCs w:val="22"/>
        </w:rPr>
      </w:pPr>
    </w:p>
    <w:p w14:paraId="1E0667C5" w14:textId="155284CA" w:rsidR="00CB02E4" w:rsidRPr="00CB02E4" w:rsidRDefault="00CB02E4" w:rsidP="009A2FAC">
      <w:pPr>
        <w:autoSpaceDE w:val="0"/>
        <w:ind w:right="-286"/>
        <w:jc w:val="both"/>
        <w:rPr>
          <w:rFonts w:eastAsia="Times New Roman" w:cs="Times New Roman"/>
          <w:sz w:val="22"/>
          <w:szCs w:val="22"/>
        </w:rPr>
      </w:pPr>
      <w:r w:rsidRPr="00CB02E4">
        <w:rPr>
          <w:rFonts w:eastAsia="Times New Roman" w:cs="Times New Roman"/>
          <w:sz w:val="22"/>
          <w:szCs w:val="22"/>
        </w:rPr>
        <w:t xml:space="preserve">Monsieur </w:t>
      </w:r>
      <w:r w:rsidR="009A2FAC" w:rsidRPr="00CB02E4">
        <w:rPr>
          <w:rFonts w:eastAsia="Times New Roman" w:cs="Times New Roman"/>
          <w:sz w:val="22"/>
          <w:szCs w:val="22"/>
        </w:rPr>
        <w:t>Jean-Marc DIVINA</w:t>
      </w:r>
      <w:r w:rsidRPr="00CB02E4">
        <w:rPr>
          <w:rFonts w:eastAsia="Times New Roman" w:cs="Times New Roman"/>
          <w:sz w:val="22"/>
          <w:szCs w:val="22"/>
        </w:rPr>
        <w:t xml:space="preserve">, </w:t>
      </w:r>
      <w:r w:rsidR="009A2FAC">
        <w:rPr>
          <w:rFonts w:eastAsia="Times New Roman" w:cs="Times New Roman"/>
          <w:sz w:val="22"/>
          <w:szCs w:val="22"/>
        </w:rPr>
        <w:t>r</w:t>
      </w:r>
      <w:r w:rsidR="009A2FAC" w:rsidRPr="00CB02E4">
        <w:rPr>
          <w:rFonts w:eastAsia="Times New Roman" w:cs="Times New Roman"/>
          <w:sz w:val="22"/>
          <w:szCs w:val="22"/>
        </w:rPr>
        <w:t>etraité de la Gendarmerie Nationale</w:t>
      </w:r>
      <w:r w:rsidRPr="00CB02E4">
        <w:rPr>
          <w:rFonts w:eastAsia="Times New Roman" w:cs="Times New Roman"/>
          <w:sz w:val="22"/>
          <w:szCs w:val="22"/>
        </w:rPr>
        <w:t xml:space="preserve">, a été désigné en qualité de </w:t>
      </w:r>
      <w:r w:rsidR="009A2FAC">
        <w:rPr>
          <w:rFonts w:eastAsia="Times New Roman" w:cs="Times New Roman"/>
          <w:sz w:val="22"/>
          <w:szCs w:val="22"/>
        </w:rPr>
        <w:t>commissaire enquêteur</w:t>
      </w:r>
      <w:r w:rsidRPr="00CB02E4">
        <w:rPr>
          <w:rFonts w:eastAsia="Times New Roman" w:cs="Times New Roman"/>
          <w:sz w:val="22"/>
          <w:szCs w:val="22"/>
        </w:rPr>
        <w:t xml:space="preserve"> par </w:t>
      </w:r>
      <w:r w:rsidR="009A2FAC">
        <w:rPr>
          <w:rFonts w:eastAsia="Times New Roman" w:cs="Times New Roman"/>
          <w:sz w:val="22"/>
          <w:szCs w:val="22"/>
        </w:rPr>
        <w:t>Madame la</w:t>
      </w:r>
      <w:r w:rsidRPr="00CB02E4">
        <w:rPr>
          <w:rFonts w:eastAsia="Times New Roman" w:cs="Times New Roman"/>
          <w:sz w:val="22"/>
          <w:szCs w:val="22"/>
        </w:rPr>
        <w:t xml:space="preserve"> Président</w:t>
      </w:r>
      <w:r w:rsidR="009A2FAC">
        <w:rPr>
          <w:rFonts w:eastAsia="Times New Roman" w:cs="Times New Roman"/>
          <w:sz w:val="22"/>
          <w:szCs w:val="22"/>
        </w:rPr>
        <w:t>e</w:t>
      </w:r>
      <w:r w:rsidRPr="00CB02E4">
        <w:rPr>
          <w:rFonts w:eastAsia="Times New Roman" w:cs="Times New Roman"/>
          <w:sz w:val="22"/>
          <w:szCs w:val="22"/>
        </w:rPr>
        <w:t xml:space="preserve"> du Tribunal Administratif de Bordeaux. </w:t>
      </w:r>
    </w:p>
    <w:p w14:paraId="76C7B02D" w14:textId="77777777" w:rsidR="00CB02E4" w:rsidRDefault="00CB02E4" w:rsidP="00564D20">
      <w:pPr>
        <w:autoSpaceDE w:val="0"/>
        <w:ind w:right="-286"/>
        <w:jc w:val="both"/>
        <w:rPr>
          <w:rFonts w:eastAsia="Times New Roman" w:cs="Times New Roman"/>
          <w:sz w:val="22"/>
          <w:szCs w:val="22"/>
        </w:rPr>
      </w:pPr>
    </w:p>
    <w:p w14:paraId="60747ACC" w14:textId="74CC7F46" w:rsidR="005576F1" w:rsidRDefault="009A2FAC" w:rsidP="00564D20">
      <w:pPr>
        <w:autoSpaceDE w:val="0"/>
        <w:ind w:right="-286"/>
        <w:jc w:val="both"/>
        <w:rPr>
          <w:rFonts w:eastAsia="Times New Roman" w:cs="Times New Roman"/>
          <w:sz w:val="22"/>
          <w:szCs w:val="22"/>
        </w:rPr>
      </w:pPr>
      <w:r w:rsidRPr="009A2FAC">
        <w:rPr>
          <w:rFonts w:eastAsia="Times New Roman" w:cs="Times New Roman"/>
          <w:sz w:val="22"/>
          <w:szCs w:val="22"/>
        </w:rPr>
        <w:t>Les pièces du dossier de modification</w:t>
      </w:r>
      <w:r>
        <w:rPr>
          <w:rFonts w:eastAsia="Times New Roman" w:cs="Times New Roman"/>
          <w:sz w:val="22"/>
          <w:szCs w:val="22"/>
        </w:rPr>
        <w:t xml:space="preserve"> n°2 du PLUi du Grand Périgueux</w:t>
      </w:r>
      <w:r w:rsidRPr="009A2FAC">
        <w:rPr>
          <w:rFonts w:eastAsia="Times New Roman" w:cs="Times New Roman"/>
          <w:sz w:val="22"/>
          <w:szCs w:val="22"/>
        </w:rPr>
        <w:t xml:space="preserve"> ainsi qu’un registre d’enquête à feuillets non mobiles, côté et paraphé par le commissaire enquêteur, seront déposés à l’hôtel d’agglomération du lundi 30 mai 2022 au jeudi 7 juillet 2022, siège de l’enquête publique.</w:t>
      </w:r>
    </w:p>
    <w:p w14:paraId="79454366" w14:textId="77777777" w:rsidR="009A2FAC" w:rsidRPr="00041CB1" w:rsidRDefault="009A2FAC" w:rsidP="00564D20">
      <w:pPr>
        <w:autoSpaceDE w:val="0"/>
        <w:ind w:right="-286"/>
        <w:jc w:val="both"/>
        <w:rPr>
          <w:rFonts w:eastAsia="Times New Roman" w:cs="Times New Roman"/>
          <w:sz w:val="22"/>
          <w:szCs w:val="22"/>
        </w:rPr>
      </w:pPr>
    </w:p>
    <w:p w14:paraId="6F97C8A9" w14:textId="6D02A56A" w:rsidR="00564D20" w:rsidRDefault="00C72A48" w:rsidP="00564D20">
      <w:pPr>
        <w:autoSpaceDE w:val="0"/>
        <w:ind w:right="-286"/>
        <w:jc w:val="both"/>
        <w:rPr>
          <w:rFonts w:eastAsia="Times New Roman" w:cs="Times New Roman"/>
          <w:sz w:val="22"/>
          <w:szCs w:val="22"/>
        </w:rPr>
      </w:pPr>
      <w:r w:rsidRPr="00C72A48">
        <w:rPr>
          <w:rFonts w:eastAsia="Times New Roman" w:cs="Times New Roman"/>
          <w:sz w:val="22"/>
          <w:szCs w:val="22"/>
        </w:rPr>
        <w:t xml:space="preserve">Chacun pourra prendre connaissance du dossier </w:t>
      </w:r>
      <w:r>
        <w:rPr>
          <w:rFonts w:eastAsia="Times New Roman" w:cs="Times New Roman"/>
          <w:sz w:val="22"/>
          <w:szCs w:val="22"/>
        </w:rPr>
        <w:t>d’enquête publique</w:t>
      </w:r>
      <w:r w:rsidRPr="00C72A48">
        <w:rPr>
          <w:rFonts w:eastAsia="Times New Roman" w:cs="Times New Roman"/>
          <w:sz w:val="22"/>
          <w:szCs w:val="22"/>
        </w:rPr>
        <w:t xml:space="preserve"> aux jours et heures habituels d’ouverture, soit du lundi au jeudi de 8h30 à 12h30 et de 13h30 à 18h00, puis le vendredi de 8h30 à 12h30 et de 13h30 à 17h00, et consigner éventuellement ses observations, propositions et contre-propositions sur le r</w:t>
      </w:r>
      <w:r w:rsidR="007C17B9">
        <w:rPr>
          <w:rFonts w:eastAsia="Times New Roman" w:cs="Times New Roman"/>
          <w:sz w:val="22"/>
          <w:szCs w:val="22"/>
        </w:rPr>
        <w:t>egistre d’enquête dédié.</w:t>
      </w:r>
    </w:p>
    <w:p w14:paraId="2CF9F275" w14:textId="77777777" w:rsidR="00E871E1" w:rsidRDefault="00E871E1" w:rsidP="00564D20">
      <w:pPr>
        <w:autoSpaceDE w:val="0"/>
        <w:ind w:right="-286"/>
        <w:jc w:val="both"/>
        <w:rPr>
          <w:rFonts w:eastAsia="Times New Roman" w:cs="Times New Roman"/>
          <w:sz w:val="22"/>
          <w:szCs w:val="22"/>
        </w:rPr>
      </w:pPr>
    </w:p>
    <w:p w14:paraId="0BD73E1C" w14:textId="4C90A788" w:rsidR="00F73121" w:rsidRPr="00F73121" w:rsidRDefault="00F73121" w:rsidP="00F73121">
      <w:pPr>
        <w:autoSpaceDE w:val="0"/>
        <w:ind w:right="-286"/>
        <w:jc w:val="both"/>
        <w:rPr>
          <w:rFonts w:eastAsia="Times New Roman" w:cs="Times New Roman"/>
          <w:sz w:val="22"/>
          <w:szCs w:val="22"/>
        </w:rPr>
      </w:pPr>
      <w:r w:rsidRPr="00F73121">
        <w:rPr>
          <w:rFonts w:eastAsia="Times New Roman" w:cs="Times New Roman"/>
          <w:sz w:val="22"/>
          <w:szCs w:val="22"/>
        </w:rPr>
        <w:t xml:space="preserve">Pendant toute la durée de l’enquête publique le public pourra déposer ses observations et propositions selon </w:t>
      </w:r>
      <w:r>
        <w:rPr>
          <w:rFonts w:eastAsia="Times New Roman" w:cs="Times New Roman"/>
          <w:sz w:val="22"/>
          <w:szCs w:val="22"/>
        </w:rPr>
        <w:t xml:space="preserve">les possibilités suivantes : </w:t>
      </w:r>
    </w:p>
    <w:p w14:paraId="59A55A2D" w14:textId="4653028D" w:rsidR="00B34787" w:rsidRPr="00B34787" w:rsidRDefault="00B34787" w:rsidP="00B34787">
      <w:pPr>
        <w:autoSpaceDE w:val="0"/>
        <w:ind w:left="709" w:right="-286"/>
        <w:jc w:val="both"/>
        <w:rPr>
          <w:rFonts w:eastAsia="Times New Roman" w:cs="Times New Roman"/>
          <w:sz w:val="22"/>
          <w:szCs w:val="22"/>
        </w:rPr>
      </w:pPr>
      <w:r w:rsidRPr="00B34787">
        <w:rPr>
          <w:rFonts w:eastAsia="Times New Roman" w:cs="Times New Roman"/>
          <w:sz w:val="22"/>
          <w:szCs w:val="22"/>
        </w:rPr>
        <w:t>- soit sur le registre d’enquête à feuillets non mobiles, côté et paraphé par le commissaire enquêteur, déposé au siège de la communauté d'agglomération du Grand Périgueux pendant toute l</w:t>
      </w:r>
      <w:r>
        <w:rPr>
          <w:rFonts w:eastAsia="Times New Roman" w:cs="Times New Roman"/>
          <w:sz w:val="22"/>
          <w:szCs w:val="22"/>
        </w:rPr>
        <w:t xml:space="preserve">a durée de l’enquête publique. </w:t>
      </w:r>
    </w:p>
    <w:p w14:paraId="76EAFAE4" w14:textId="7152BD4C" w:rsidR="00B34787" w:rsidRPr="00B34787" w:rsidRDefault="00B34787" w:rsidP="00B34787">
      <w:pPr>
        <w:autoSpaceDE w:val="0"/>
        <w:ind w:left="709" w:right="-286"/>
        <w:jc w:val="both"/>
        <w:rPr>
          <w:rFonts w:eastAsia="Times New Roman" w:cs="Times New Roman"/>
          <w:sz w:val="22"/>
          <w:szCs w:val="22"/>
        </w:rPr>
      </w:pPr>
      <w:r w:rsidRPr="00B34787">
        <w:rPr>
          <w:rFonts w:eastAsia="Times New Roman" w:cs="Times New Roman"/>
          <w:sz w:val="22"/>
          <w:szCs w:val="22"/>
        </w:rPr>
        <w:t>- soit lors des permanences tenues par le commissaire enq</w:t>
      </w:r>
      <w:r>
        <w:rPr>
          <w:rFonts w:eastAsia="Times New Roman" w:cs="Times New Roman"/>
          <w:sz w:val="22"/>
          <w:szCs w:val="22"/>
        </w:rPr>
        <w:t xml:space="preserve">uêteur définies </w:t>
      </w:r>
      <w:r w:rsidR="007C17B9">
        <w:rPr>
          <w:rFonts w:eastAsia="Times New Roman" w:cs="Times New Roman"/>
          <w:sz w:val="22"/>
          <w:szCs w:val="22"/>
        </w:rPr>
        <w:t>ci-après</w:t>
      </w:r>
      <w:r>
        <w:rPr>
          <w:rFonts w:eastAsia="Times New Roman" w:cs="Times New Roman"/>
          <w:sz w:val="22"/>
          <w:szCs w:val="22"/>
        </w:rPr>
        <w:t xml:space="preserve">, </w:t>
      </w:r>
    </w:p>
    <w:p w14:paraId="57C5EE8E" w14:textId="1FB9FC08" w:rsidR="00B34787" w:rsidRPr="00B34787" w:rsidRDefault="00B34787" w:rsidP="00B34787">
      <w:pPr>
        <w:autoSpaceDE w:val="0"/>
        <w:ind w:left="709" w:right="-286"/>
        <w:jc w:val="both"/>
        <w:rPr>
          <w:rFonts w:eastAsia="Times New Roman" w:cs="Times New Roman"/>
          <w:sz w:val="22"/>
          <w:szCs w:val="22"/>
        </w:rPr>
      </w:pPr>
      <w:r w:rsidRPr="00B34787">
        <w:rPr>
          <w:rFonts w:eastAsia="Times New Roman" w:cs="Times New Roman"/>
          <w:sz w:val="22"/>
          <w:szCs w:val="22"/>
        </w:rPr>
        <w:t>- soit les adresser par écrit à Monsieur le commissaire enquêteur, domicilié à la communauté d'agglomération du Grand Périgueux, 1 Boulevard Lakanal – BP 70171 – 2401</w:t>
      </w:r>
      <w:r>
        <w:rPr>
          <w:rFonts w:eastAsia="Times New Roman" w:cs="Times New Roman"/>
          <w:sz w:val="22"/>
          <w:szCs w:val="22"/>
        </w:rPr>
        <w:t xml:space="preserve">9 PERIGUEUX Cedex. </w:t>
      </w:r>
    </w:p>
    <w:p w14:paraId="26B7890E" w14:textId="3E0DEC5D" w:rsidR="00B34787" w:rsidRPr="00B34787" w:rsidRDefault="00B34787" w:rsidP="00B34787">
      <w:pPr>
        <w:autoSpaceDE w:val="0"/>
        <w:ind w:left="709" w:right="-286"/>
        <w:jc w:val="both"/>
        <w:rPr>
          <w:rFonts w:eastAsia="Times New Roman" w:cs="Times New Roman"/>
          <w:sz w:val="22"/>
          <w:szCs w:val="22"/>
        </w:rPr>
      </w:pPr>
      <w:r w:rsidRPr="00B34787">
        <w:rPr>
          <w:rFonts w:eastAsia="Times New Roman" w:cs="Times New Roman"/>
          <w:sz w:val="22"/>
          <w:szCs w:val="22"/>
        </w:rPr>
        <w:t xml:space="preserve">- soit sous format électronique sur le registre dématérialisé dédié à l’enquête publique à l’adresse suivante : http://registre.agrn.fr/. Des observations peuvent y être déposées via un formulaire en ligne. Les pièces jointes éventuelles </w:t>
      </w:r>
      <w:r>
        <w:rPr>
          <w:rFonts w:eastAsia="Times New Roman" w:cs="Times New Roman"/>
          <w:sz w:val="22"/>
          <w:szCs w:val="22"/>
        </w:rPr>
        <w:t xml:space="preserve">ne devront pas dépasser 50 Mo. </w:t>
      </w:r>
    </w:p>
    <w:p w14:paraId="3F467045" w14:textId="03AEE7FB" w:rsidR="00B34787" w:rsidRPr="00B34787" w:rsidRDefault="00B34787" w:rsidP="00B34787">
      <w:pPr>
        <w:autoSpaceDE w:val="0"/>
        <w:ind w:left="709" w:right="-286"/>
        <w:jc w:val="both"/>
        <w:rPr>
          <w:rFonts w:eastAsia="Times New Roman" w:cs="Times New Roman"/>
          <w:sz w:val="22"/>
          <w:szCs w:val="22"/>
        </w:rPr>
      </w:pPr>
      <w:r w:rsidRPr="00B34787">
        <w:rPr>
          <w:rFonts w:eastAsia="Times New Roman" w:cs="Times New Roman"/>
          <w:sz w:val="22"/>
          <w:szCs w:val="22"/>
        </w:rPr>
        <w:t>- soit par courriel à l’adresse électronique : enquete.publique@grandperigueux.fr, en portant la mention « enquête publique sur la modification n°</w:t>
      </w:r>
      <w:r>
        <w:rPr>
          <w:rFonts w:eastAsia="Times New Roman" w:cs="Times New Roman"/>
          <w:sz w:val="22"/>
          <w:szCs w:val="22"/>
        </w:rPr>
        <w:t>2 du PLUi du Grand Périgueux ».</w:t>
      </w:r>
    </w:p>
    <w:p w14:paraId="26845A0E" w14:textId="4B680111" w:rsidR="00F73121" w:rsidRDefault="00B34787" w:rsidP="00B34787">
      <w:pPr>
        <w:autoSpaceDE w:val="0"/>
        <w:ind w:right="-286"/>
        <w:jc w:val="both"/>
        <w:rPr>
          <w:rFonts w:eastAsia="Times New Roman" w:cs="Times New Roman"/>
          <w:sz w:val="22"/>
          <w:szCs w:val="22"/>
        </w:rPr>
      </w:pPr>
      <w:r w:rsidRPr="00B34787">
        <w:rPr>
          <w:rFonts w:eastAsia="Times New Roman" w:cs="Times New Roman"/>
          <w:sz w:val="22"/>
          <w:szCs w:val="22"/>
        </w:rPr>
        <w:t xml:space="preserve">Ces correspondances devront être faites durant la durée légale de l’enquête publique, soit du lundi 30 </w:t>
      </w:r>
      <w:r w:rsidRPr="00B34787">
        <w:rPr>
          <w:rFonts w:eastAsia="Times New Roman" w:cs="Times New Roman"/>
          <w:sz w:val="22"/>
          <w:szCs w:val="22"/>
        </w:rPr>
        <w:lastRenderedPageBreak/>
        <w:t xml:space="preserve">mai 2022 à 9H00 au jeudi 7 juillet 2022 à 17H00, heure </w:t>
      </w:r>
      <w:r w:rsidR="00C7080A">
        <w:rPr>
          <w:rFonts w:eastAsia="Times New Roman" w:cs="Times New Roman"/>
          <w:sz w:val="22"/>
          <w:szCs w:val="22"/>
        </w:rPr>
        <w:t>de Paris</w:t>
      </w:r>
      <w:r w:rsidRPr="00B34787">
        <w:rPr>
          <w:rFonts w:eastAsia="Times New Roman" w:cs="Times New Roman"/>
          <w:sz w:val="22"/>
          <w:szCs w:val="22"/>
        </w:rPr>
        <w:t>.</w:t>
      </w:r>
    </w:p>
    <w:p w14:paraId="5068485F" w14:textId="77777777" w:rsidR="00B34787" w:rsidRPr="00041CB1" w:rsidRDefault="00B34787" w:rsidP="00B34787">
      <w:pPr>
        <w:autoSpaceDE w:val="0"/>
        <w:ind w:right="-286"/>
        <w:jc w:val="both"/>
        <w:rPr>
          <w:rFonts w:eastAsia="Times New Roman" w:cs="Times New Roman"/>
          <w:sz w:val="22"/>
          <w:szCs w:val="22"/>
        </w:rPr>
      </w:pPr>
    </w:p>
    <w:p w14:paraId="53B8EDFB" w14:textId="77777777" w:rsidR="00CC22AD" w:rsidRPr="00CC22AD" w:rsidRDefault="00CC22AD" w:rsidP="00CC22AD">
      <w:pPr>
        <w:autoSpaceDE w:val="0"/>
        <w:ind w:right="-286"/>
        <w:jc w:val="both"/>
        <w:rPr>
          <w:rFonts w:eastAsia="Times New Roman" w:cs="Times New Roman"/>
          <w:sz w:val="22"/>
          <w:szCs w:val="22"/>
        </w:rPr>
      </w:pPr>
      <w:r w:rsidRPr="00CC22AD">
        <w:rPr>
          <w:rFonts w:eastAsia="Times New Roman" w:cs="Times New Roman"/>
          <w:sz w:val="22"/>
          <w:szCs w:val="22"/>
        </w:rPr>
        <w:t>Le commissaire enquêteur recevra le public au siège de la communauté d'agglomération du Grand Périgueux aux horaires suivants :</w:t>
      </w:r>
    </w:p>
    <w:p w14:paraId="788E8C6C" w14:textId="7FB4EC92" w:rsidR="00CC22AD" w:rsidRPr="00CC22AD" w:rsidRDefault="00CC22AD" w:rsidP="00CC22AD">
      <w:pPr>
        <w:pStyle w:val="Paragraphedeliste"/>
        <w:numPr>
          <w:ilvl w:val="0"/>
          <w:numId w:val="12"/>
        </w:numPr>
        <w:autoSpaceDE w:val="0"/>
        <w:ind w:right="-286"/>
        <w:jc w:val="both"/>
        <w:rPr>
          <w:rFonts w:eastAsia="Times New Roman" w:cs="Times New Roman"/>
          <w:sz w:val="22"/>
          <w:szCs w:val="22"/>
        </w:rPr>
      </w:pPr>
      <w:r w:rsidRPr="00CC22AD">
        <w:rPr>
          <w:rFonts w:eastAsia="Times New Roman" w:cs="Times New Roman"/>
          <w:sz w:val="22"/>
          <w:szCs w:val="22"/>
        </w:rPr>
        <w:t>Le lundi 30 mai 2022 de 9h à midi,</w:t>
      </w:r>
    </w:p>
    <w:p w14:paraId="0FAE0E10" w14:textId="116CE8E3" w:rsidR="00CC22AD" w:rsidRPr="00CC22AD" w:rsidRDefault="00CC22AD" w:rsidP="00CC22AD">
      <w:pPr>
        <w:pStyle w:val="Paragraphedeliste"/>
        <w:numPr>
          <w:ilvl w:val="0"/>
          <w:numId w:val="12"/>
        </w:numPr>
        <w:autoSpaceDE w:val="0"/>
        <w:ind w:right="-286"/>
        <w:jc w:val="both"/>
        <w:rPr>
          <w:rFonts w:eastAsia="Times New Roman" w:cs="Times New Roman"/>
          <w:sz w:val="22"/>
          <w:szCs w:val="22"/>
        </w:rPr>
      </w:pPr>
      <w:r w:rsidRPr="00CC22AD">
        <w:rPr>
          <w:rFonts w:eastAsia="Times New Roman" w:cs="Times New Roman"/>
          <w:sz w:val="22"/>
          <w:szCs w:val="22"/>
        </w:rPr>
        <w:t>Le mercredi 1er juin 2022 de 9h à midi,</w:t>
      </w:r>
    </w:p>
    <w:p w14:paraId="235E34FC" w14:textId="5EEADACE" w:rsidR="00CC22AD" w:rsidRPr="00CC22AD" w:rsidRDefault="00CC22AD" w:rsidP="00CC22AD">
      <w:pPr>
        <w:pStyle w:val="Paragraphedeliste"/>
        <w:numPr>
          <w:ilvl w:val="0"/>
          <w:numId w:val="12"/>
        </w:numPr>
        <w:autoSpaceDE w:val="0"/>
        <w:ind w:right="-286"/>
        <w:jc w:val="both"/>
        <w:rPr>
          <w:rFonts w:eastAsia="Times New Roman" w:cs="Times New Roman"/>
          <w:sz w:val="22"/>
          <w:szCs w:val="22"/>
        </w:rPr>
      </w:pPr>
      <w:r w:rsidRPr="00CC22AD">
        <w:rPr>
          <w:rFonts w:eastAsia="Times New Roman" w:cs="Times New Roman"/>
          <w:sz w:val="22"/>
          <w:szCs w:val="22"/>
        </w:rPr>
        <w:t>Le mardi 14 juin 2022 de 15h à 18h,</w:t>
      </w:r>
    </w:p>
    <w:p w14:paraId="702371B9" w14:textId="6041D5A6" w:rsidR="00CC22AD" w:rsidRPr="00CC22AD" w:rsidRDefault="00CC22AD" w:rsidP="00CC22AD">
      <w:pPr>
        <w:pStyle w:val="Paragraphedeliste"/>
        <w:numPr>
          <w:ilvl w:val="0"/>
          <w:numId w:val="12"/>
        </w:numPr>
        <w:autoSpaceDE w:val="0"/>
        <w:ind w:right="-286"/>
        <w:jc w:val="both"/>
        <w:rPr>
          <w:rFonts w:eastAsia="Times New Roman" w:cs="Times New Roman"/>
          <w:sz w:val="22"/>
          <w:szCs w:val="22"/>
        </w:rPr>
      </w:pPr>
      <w:r w:rsidRPr="00CC22AD">
        <w:rPr>
          <w:rFonts w:eastAsia="Times New Roman" w:cs="Times New Roman"/>
          <w:sz w:val="22"/>
          <w:szCs w:val="22"/>
        </w:rPr>
        <w:t>Le jeudi 16 juin 2022 de 15h à 18h,</w:t>
      </w:r>
    </w:p>
    <w:p w14:paraId="1ACEBFAB" w14:textId="7E2D9EEE" w:rsidR="00CC22AD" w:rsidRPr="00CC22AD" w:rsidRDefault="00CC22AD" w:rsidP="00CC22AD">
      <w:pPr>
        <w:pStyle w:val="Paragraphedeliste"/>
        <w:numPr>
          <w:ilvl w:val="0"/>
          <w:numId w:val="12"/>
        </w:numPr>
        <w:autoSpaceDE w:val="0"/>
        <w:ind w:right="-286"/>
        <w:jc w:val="both"/>
        <w:rPr>
          <w:rFonts w:eastAsia="Times New Roman" w:cs="Times New Roman"/>
          <w:sz w:val="22"/>
          <w:szCs w:val="22"/>
        </w:rPr>
      </w:pPr>
      <w:r w:rsidRPr="00CC22AD">
        <w:rPr>
          <w:rFonts w:eastAsia="Times New Roman" w:cs="Times New Roman"/>
          <w:sz w:val="22"/>
          <w:szCs w:val="22"/>
        </w:rPr>
        <w:t>Le lundi 20 juin 2022 de 9h à midi,</w:t>
      </w:r>
    </w:p>
    <w:p w14:paraId="089BC789" w14:textId="54BA7271" w:rsidR="00CC22AD" w:rsidRPr="00CC22AD" w:rsidRDefault="00CC22AD" w:rsidP="00CC22AD">
      <w:pPr>
        <w:pStyle w:val="Paragraphedeliste"/>
        <w:numPr>
          <w:ilvl w:val="0"/>
          <w:numId w:val="12"/>
        </w:numPr>
        <w:autoSpaceDE w:val="0"/>
        <w:ind w:right="-286"/>
        <w:jc w:val="both"/>
        <w:rPr>
          <w:rFonts w:eastAsia="Times New Roman" w:cs="Times New Roman"/>
          <w:sz w:val="22"/>
          <w:szCs w:val="22"/>
        </w:rPr>
      </w:pPr>
      <w:r w:rsidRPr="00CC22AD">
        <w:rPr>
          <w:rFonts w:eastAsia="Times New Roman" w:cs="Times New Roman"/>
          <w:sz w:val="22"/>
          <w:szCs w:val="22"/>
        </w:rPr>
        <w:t>Le vendredi 24 juin 2022 de 9h à midi,</w:t>
      </w:r>
    </w:p>
    <w:p w14:paraId="5B428006" w14:textId="298675A3" w:rsidR="00CC22AD" w:rsidRPr="00CC22AD" w:rsidRDefault="00CC22AD" w:rsidP="00CC22AD">
      <w:pPr>
        <w:pStyle w:val="Paragraphedeliste"/>
        <w:numPr>
          <w:ilvl w:val="0"/>
          <w:numId w:val="12"/>
        </w:numPr>
        <w:autoSpaceDE w:val="0"/>
        <w:ind w:right="-286"/>
        <w:jc w:val="both"/>
        <w:rPr>
          <w:rFonts w:eastAsia="Times New Roman" w:cs="Times New Roman"/>
          <w:sz w:val="22"/>
          <w:szCs w:val="22"/>
        </w:rPr>
      </w:pPr>
      <w:r w:rsidRPr="00CC22AD">
        <w:rPr>
          <w:rFonts w:eastAsia="Times New Roman" w:cs="Times New Roman"/>
          <w:sz w:val="22"/>
          <w:szCs w:val="22"/>
        </w:rPr>
        <w:t>Le mardi 28 juin 2022 de 15h à 18h,</w:t>
      </w:r>
    </w:p>
    <w:p w14:paraId="21365B4B" w14:textId="7B9E6358" w:rsidR="00CC22AD" w:rsidRPr="00CC22AD" w:rsidRDefault="00CC22AD" w:rsidP="00CC22AD">
      <w:pPr>
        <w:pStyle w:val="Paragraphedeliste"/>
        <w:numPr>
          <w:ilvl w:val="0"/>
          <w:numId w:val="12"/>
        </w:numPr>
        <w:autoSpaceDE w:val="0"/>
        <w:ind w:right="-286"/>
        <w:jc w:val="both"/>
        <w:rPr>
          <w:rFonts w:eastAsia="Times New Roman" w:cs="Times New Roman"/>
          <w:sz w:val="22"/>
          <w:szCs w:val="22"/>
        </w:rPr>
      </w:pPr>
      <w:r w:rsidRPr="00CC22AD">
        <w:rPr>
          <w:rFonts w:eastAsia="Times New Roman" w:cs="Times New Roman"/>
          <w:sz w:val="22"/>
          <w:szCs w:val="22"/>
        </w:rPr>
        <w:t>Le jeudi 30 juin 2022 de 9h à midi,</w:t>
      </w:r>
    </w:p>
    <w:p w14:paraId="3D59226A" w14:textId="3D9277E7" w:rsidR="00CC22AD" w:rsidRPr="00CC22AD" w:rsidRDefault="00CC22AD" w:rsidP="00CC22AD">
      <w:pPr>
        <w:pStyle w:val="Paragraphedeliste"/>
        <w:numPr>
          <w:ilvl w:val="0"/>
          <w:numId w:val="12"/>
        </w:numPr>
        <w:autoSpaceDE w:val="0"/>
        <w:ind w:right="-286"/>
        <w:jc w:val="both"/>
        <w:rPr>
          <w:rFonts w:eastAsia="Times New Roman" w:cs="Times New Roman"/>
          <w:sz w:val="22"/>
          <w:szCs w:val="22"/>
        </w:rPr>
      </w:pPr>
      <w:r w:rsidRPr="00CC22AD">
        <w:rPr>
          <w:rFonts w:eastAsia="Times New Roman" w:cs="Times New Roman"/>
          <w:sz w:val="22"/>
          <w:szCs w:val="22"/>
        </w:rPr>
        <w:t>Le mercredi 6 juillet 2022 de 9h à midi,</w:t>
      </w:r>
    </w:p>
    <w:p w14:paraId="3CD963F7" w14:textId="798EBC68" w:rsidR="000B3C06" w:rsidRPr="00CC22AD" w:rsidRDefault="00CC22AD" w:rsidP="00CC22AD">
      <w:pPr>
        <w:pStyle w:val="Paragraphedeliste"/>
        <w:numPr>
          <w:ilvl w:val="0"/>
          <w:numId w:val="12"/>
        </w:numPr>
        <w:autoSpaceDE w:val="0"/>
        <w:ind w:right="-286"/>
        <w:jc w:val="both"/>
        <w:rPr>
          <w:rFonts w:eastAsia="Times New Roman" w:cs="Times New Roman"/>
          <w:sz w:val="22"/>
          <w:szCs w:val="22"/>
        </w:rPr>
      </w:pPr>
      <w:r w:rsidRPr="00CC22AD">
        <w:rPr>
          <w:rFonts w:eastAsia="Times New Roman" w:cs="Times New Roman"/>
          <w:sz w:val="22"/>
          <w:szCs w:val="22"/>
        </w:rPr>
        <w:t>Et enfin le jeudi 7 juillet 2022 de 14h à 17h.</w:t>
      </w:r>
    </w:p>
    <w:p w14:paraId="7ADCE127" w14:textId="77777777" w:rsidR="000B3C06" w:rsidRDefault="000B3C06" w:rsidP="00224AD9">
      <w:pPr>
        <w:autoSpaceDE w:val="0"/>
        <w:ind w:right="-286"/>
        <w:jc w:val="both"/>
        <w:rPr>
          <w:rFonts w:eastAsia="Times New Roman" w:cs="Times New Roman"/>
          <w:sz w:val="22"/>
          <w:szCs w:val="22"/>
        </w:rPr>
      </w:pPr>
    </w:p>
    <w:p w14:paraId="274ABB4A" w14:textId="47E2AF51" w:rsidR="00A71295" w:rsidRDefault="00F03691" w:rsidP="00A71295">
      <w:pPr>
        <w:autoSpaceDE w:val="0"/>
        <w:ind w:right="-286"/>
        <w:jc w:val="both"/>
        <w:rPr>
          <w:rFonts w:eastAsia="Times New Roman" w:cs="Times New Roman"/>
          <w:sz w:val="22"/>
          <w:szCs w:val="22"/>
        </w:rPr>
      </w:pPr>
      <w:r w:rsidRPr="00F03691">
        <w:rPr>
          <w:rFonts w:eastAsia="Times New Roman" w:cs="Times New Roman"/>
          <w:sz w:val="22"/>
          <w:szCs w:val="22"/>
        </w:rPr>
        <w:t>A l’issue de l’enquête publique, le projet de modification du PLUi pourra éventuellement être modifié afin de tenir compte des observations des personnes publiques associées et des personnes ayant fait des observations lors de l’enquête publique. La modification n°2 du PLUi sera ensuite approuvée par l’assemblée délibérante de la communauté d’agglomération du Grand Périgueux.</w:t>
      </w:r>
    </w:p>
    <w:p w14:paraId="32D71310" w14:textId="20EDFBCB" w:rsidR="00A71295" w:rsidRPr="00041CB1" w:rsidRDefault="00A71295" w:rsidP="00A71295">
      <w:pPr>
        <w:autoSpaceDE w:val="0"/>
        <w:ind w:right="-286"/>
        <w:jc w:val="both"/>
        <w:rPr>
          <w:rFonts w:eastAsia="Times New Roman" w:cs="Times New Roman"/>
          <w:sz w:val="22"/>
          <w:szCs w:val="22"/>
        </w:rPr>
      </w:pPr>
    </w:p>
    <w:p w14:paraId="0003162C" w14:textId="6E45EECC" w:rsidR="0054769B" w:rsidRPr="00041CB1" w:rsidRDefault="00921001">
      <w:pPr>
        <w:autoSpaceDE w:val="0"/>
        <w:ind w:right="-286"/>
        <w:jc w:val="both"/>
        <w:rPr>
          <w:rFonts w:eastAsia="Times New Roman" w:cs="Times New Roman"/>
          <w:sz w:val="22"/>
          <w:szCs w:val="22"/>
        </w:rPr>
      </w:pPr>
      <w:r w:rsidRPr="00041CB1">
        <w:rPr>
          <w:rFonts w:eastAsia="Times New Roman" w:cs="Times New Roman"/>
          <w:sz w:val="22"/>
          <w:szCs w:val="22"/>
        </w:rPr>
        <w:t xml:space="preserve">Le public pourra consulter le rapport et les conclusions </w:t>
      </w:r>
      <w:r w:rsidR="007C0A86">
        <w:rPr>
          <w:rFonts w:eastAsia="Times New Roman" w:cs="Times New Roman"/>
          <w:sz w:val="22"/>
          <w:szCs w:val="22"/>
        </w:rPr>
        <w:t>du commissaire enquêteur</w:t>
      </w:r>
      <w:r w:rsidRPr="00041CB1">
        <w:rPr>
          <w:rFonts w:eastAsia="Times New Roman" w:cs="Times New Roman"/>
          <w:sz w:val="22"/>
          <w:szCs w:val="22"/>
        </w:rPr>
        <w:t xml:space="preserve"> pendant une durée d’un an, aux jours et heures d’o</w:t>
      </w:r>
      <w:r w:rsidR="00464600">
        <w:rPr>
          <w:rFonts w:eastAsia="Times New Roman" w:cs="Times New Roman"/>
          <w:sz w:val="22"/>
          <w:szCs w:val="22"/>
        </w:rPr>
        <w:t xml:space="preserve">uverture des bureaux, </w:t>
      </w:r>
      <w:r w:rsidR="00224AD9">
        <w:rPr>
          <w:rFonts w:eastAsia="Times New Roman" w:cs="Times New Roman"/>
          <w:sz w:val="22"/>
          <w:szCs w:val="22"/>
        </w:rPr>
        <w:t>au siège du Grand Périgueux</w:t>
      </w:r>
      <w:r w:rsidR="00476C35">
        <w:rPr>
          <w:rFonts w:eastAsia="Times New Roman" w:cs="Times New Roman"/>
          <w:sz w:val="22"/>
          <w:szCs w:val="22"/>
        </w:rPr>
        <w:t>, ainsi que sur le site internet de la communauté d'agglomération du Grand Périgueux</w:t>
      </w:r>
      <w:r w:rsidRPr="00041CB1">
        <w:rPr>
          <w:rFonts w:eastAsia="Times New Roman" w:cs="Times New Roman"/>
          <w:sz w:val="22"/>
          <w:szCs w:val="22"/>
        </w:rPr>
        <w:t>.</w:t>
      </w:r>
    </w:p>
    <w:p w14:paraId="117642CB" w14:textId="77777777" w:rsidR="0054769B" w:rsidRDefault="0054769B">
      <w:pPr>
        <w:autoSpaceDE w:val="0"/>
        <w:ind w:right="-286"/>
        <w:jc w:val="both"/>
        <w:rPr>
          <w:rFonts w:eastAsia="Times New Roman" w:cs="Times New Roman"/>
          <w:sz w:val="22"/>
          <w:szCs w:val="22"/>
        </w:rPr>
      </w:pPr>
    </w:p>
    <w:p w14:paraId="267F9614" w14:textId="79AD8E41" w:rsidR="00DC5E4D" w:rsidRDefault="007C0A86">
      <w:pPr>
        <w:autoSpaceDE w:val="0"/>
        <w:ind w:right="-286"/>
        <w:jc w:val="both"/>
        <w:rPr>
          <w:rFonts w:eastAsia="Times New Roman" w:cs="Times New Roman"/>
          <w:sz w:val="22"/>
          <w:szCs w:val="22"/>
        </w:rPr>
      </w:pPr>
      <w:r w:rsidRPr="007C0A86">
        <w:rPr>
          <w:rFonts w:eastAsia="Times New Roman" w:cs="Times New Roman"/>
          <w:sz w:val="22"/>
          <w:szCs w:val="22"/>
        </w:rPr>
        <w:t>Le projet de modification n°2 du PLUi de la communauté d'agglomération du Grand Périgueux a été soumis à examen au cas par cas auprès de l’autorité environnementale de la région Nouvelle Aquitaine. Celle-ci a répondu par une décision n° 2022DKNA39 du 10 mars 2022, en ne soumettant pas cette procédure à évaluation environnementale. L’avis de l’au</w:t>
      </w:r>
      <w:r w:rsidR="007C17B9">
        <w:rPr>
          <w:rFonts w:eastAsia="Times New Roman" w:cs="Times New Roman"/>
          <w:sz w:val="22"/>
          <w:szCs w:val="22"/>
        </w:rPr>
        <w:t>torité environnementale figure</w:t>
      </w:r>
      <w:r w:rsidRPr="007C0A86">
        <w:rPr>
          <w:rFonts w:eastAsia="Times New Roman" w:cs="Times New Roman"/>
          <w:sz w:val="22"/>
          <w:szCs w:val="22"/>
        </w:rPr>
        <w:t xml:space="preserve"> dans le dossier d’enquête publique.</w:t>
      </w:r>
    </w:p>
    <w:p w14:paraId="6B2315B8" w14:textId="77777777" w:rsidR="007C0A86" w:rsidRPr="00041CB1" w:rsidRDefault="007C0A86">
      <w:pPr>
        <w:autoSpaceDE w:val="0"/>
        <w:ind w:right="-286"/>
        <w:jc w:val="both"/>
        <w:rPr>
          <w:rFonts w:eastAsia="Times New Roman" w:cs="Times New Roman"/>
          <w:sz w:val="22"/>
          <w:szCs w:val="22"/>
        </w:rPr>
      </w:pPr>
    </w:p>
    <w:p w14:paraId="1F093E86" w14:textId="17CE99DC" w:rsidR="0054769B" w:rsidRDefault="007C0A86">
      <w:pPr>
        <w:autoSpaceDE w:val="0"/>
        <w:ind w:right="-286"/>
        <w:jc w:val="both"/>
        <w:rPr>
          <w:rFonts w:eastAsia="Times New Roman" w:cs="Times New Roman"/>
          <w:sz w:val="22"/>
          <w:szCs w:val="22"/>
        </w:rPr>
      </w:pPr>
      <w:r w:rsidRPr="007C0A86">
        <w:rPr>
          <w:rFonts w:eastAsia="Times New Roman" w:cs="Times New Roman"/>
          <w:sz w:val="22"/>
          <w:szCs w:val="22"/>
        </w:rPr>
        <w:t>Des informations sur le projet de modification n°2 du PLUi de la communauté d'agglomération du Grand Périgueux peuvent être demandées auprès du directeur général des services du Grand Périgueux et du service Urbanisme et Planification du Grand Périgueux.</w:t>
      </w:r>
    </w:p>
    <w:p w14:paraId="6BF150BB" w14:textId="77777777" w:rsidR="007C0A86" w:rsidRPr="00041CB1" w:rsidRDefault="007C0A86">
      <w:pPr>
        <w:autoSpaceDE w:val="0"/>
        <w:ind w:right="-286"/>
        <w:jc w:val="both"/>
        <w:rPr>
          <w:rFonts w:eastAsia="Times New Roman" w:cs="Times New Roman"/>
          <w:sz w:val="22"/>
          <w:szCs w:val="22"/>
        </w:rPr>
      </w:pPr>
    </w:p>
    <w:p w14:paraId="40B06622" w14:textId="4FABBDCD" w:rsidR="00CE7579" w:rsidRPr="00041CB1" w:rsidRDefault="00A71295" w:rsidP="003A196A">
      <w:pPr>
        <w:autoSpaceDE w:val="0"/>
        <w:ind w:right="-286"/>
        <w:jc w:val="both"/>
      </w:pPr>
      <w:r w:rsidRPr="00A71295">
        <w:rPr>
          <w:rFonts w:eastAsia="Times New Roman" w:cs="Times New Roman"/>
          <w:sz w:val="22"/>
          <w:szCs w:val="22"/>
        </w:rPr>
        <w:t>Cet avis sera affiché notamment dans toutes les mairies, au siège de l’Agglomération du Grand Périgueux</w:t>
      </w:r>
      <w:r w:rsidR="007C17B9">
        <w:rPr>
          <w:rFonts w:eastAsia="Times New Roman" w:cs="Times New Roman"/>
          <w:sz w:val="22"/>
          <w:szCs w:val="22"/>
        </w:rPr>
        <w:t>,</w:t>
      </w:r>
      <w:r w:rsidRPr="00A71295">
        <w:rPr>
          <w:rFonts w:eastAsia="Times New Roman" w:cs="Times New Roman"/>
          <w:sz w:val="22"/>
          <w:szCs w:val="22"/>
        </w:rPr>
        <w:t xml:space="preserve"> et publié par tout autre procédé en usage dans les communes du territoire du Grand Périgueux.</w:t>
      </w:r>
    </w:p>
    <w:sectPr w:rsidR="00CE7579" w:rsidRPr="00041CB1">
      <w:pgSz w:w="11906" w:h="16838"/>
      <w:pgMar w:top="557" w:right="1134" w:bottom="113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A5209B"/>
    <w:multiLevelType w:val="hybridMultilevel"/>
    <w:tmpl w:val="30E66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4D6354"/>
    <w:multiLevelType w:val="hybridMultilevel"/>
    <w:tmpl w:val="CA8A9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6D6DB4"/>
    <w:multiLevelType w:val="hybridMultilevel"/>
    <w:tmpl w:val="45A66806"/>
    <w:lvl w:ilvl="0" w:tplc="0CEE795C">
      <w:start w:val="4"/>
      <w:numFmt w:val="bullet"/>
      <w:lvlText w:val="-"/>
      <w:lvlJc w:val="left"/>
      <w:pPr>
        <w:ind w:left="405" w:hanging="360"/>
      </w:pPr>
      <w:rPr>
        <w:rFonts w:ascii="Calibri" w:eastAsia="Calibr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15:restartNumberingAfterBreak="0">
    <w:nsid w:val="129E586D"/>
    <w:multiLevelType w:val="multilevel"/>
    <w:tmpl w:val="46629D0C"/>
    <w:lvl w:ilvl="0">
      <w:start w:val="9"/>
      <w:numFmt w:val="bullet"/>
      <w:lvlText w:val="-"/>
      <w:lvlJc w:val="left"/>
      <w:pPr>
        <w:tabs>
          <w:tab w:val="num" w:pos="720"/>
        </w:tabs>
        <w:ind w:left="720" w:hanging="360"/>
      </w:pPr>
      <w:rPr>
        <w:rFonts w:ascii="Times New Roman" w:eastAsiaTheme="minorHAnsi" w:hAnsi="Times New Roman" w:cs="Times New Roman"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2BD374FA"/>
    <w:multiLevelType w:val="hybridMultilevel"/>
    <w:tmpl w:val="D2802EE0"/>
    <w:lvl w:ilvl="0" w:tplc="DB34021C">
      <w:start w:val="1"/>
      <w:numFmt w:val="none"/>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653E3D"/>
    <w:multiLevelType w:val="hybridMultilevel"/>
    <w:tmpl w:val="B5E6E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AD091A"/>
    <w:multiLevelType w:val="hybridMultilevel"/>
    <w:tmpl w:val="B1AC9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137AFF"/>
    <w:multiLevelType w:val="hybridMultilevel"/>
    <w:tmpl w:val="D82C8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647172"/>
    <w:multiLevelType w:val="hybridMultilevel"/>
    <w:tmpl w:val="01B02130"/>
    <w:lvl w:ilvl="0" w:tplc="DB34021C">
      <w:start w:val="1"/>
      <w:numFmt w:val="none"/>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E30C63"/>
    <w:multiLevelType w:val="hybridMultilevel"/>
    <w:tmpl w:val="CEF04546"/>
    <w:lvl w:ilvl="0" w:tplc="BEC63D30">
      <w:numFmt w:val="bullet"/>
      <w:lvlText w:val="•"/>
      <w:lvlJc w:val="left"/>
      <w:pPr>
        <w:ind w:left="1065" w:hanging="705"/>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10"/>
  </w:num>
  <w:num w:numId="6">
    <w:abstractNumId w:val="3"/>
  </w:num>
  <w:num w:numId="7">
    <w:abstractNumId w:val="6"/>
  </w:num>
  <w:num w:numId="8">
    <w:abstractNumId w:val="2"/>
  </w:num>
  <w:num w:numId="9">
    <w:abstractNumId w:val="9"/>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18"/>
    <w:rsid w:val="00006CB3"/>
    <w:rsid w:val="00041CB1"/>
    <w:rsid w:val="000443BC"/>
    <w:rsid w:val="000507F6"/>
    <w:rsid w:val="00052925"/>
    <w:rsid w:val="0005592B"/>
    <w:rsid w:val="000919AB"/>
    <w:rsid w:val="000B3C06"/>
    <w:rsid w:val="000E5623"/>
    <w:rsid w:val="00137FF9"/>
    <w:rsid w:val="00167BEF"/>
    <w:rsid w:val="001B748C"/>
    <w:rsid w:val="001F6AB8"/>
    <w:rsid w:val="00205747"/>
    <w:rsid w:val="00213976"/>
    <w:rsid w:val="00220F0B"/>
    <w:rsid w:val="00224AD9"/>
    <w:rsid w:val="002A2407"/>
    <w:rsid w:val="002C3648"/>
    <w:rsid w:val="002D72DC"/>
    <w:rsid w:val="003013BA"/>
    <w:rsid w:val="003544D6"/>
    <w:rsid w:val="00356937"/>
    <w:rsid w:val="0036621C"/>
    <w:rsid w:val="00370677"/>
    <w:rsid w:val="00372959"/>
    <w:rsid w:val="003A196A"/>
    <w:rsid w:val="003A71D5"/>
    <w:rsid w:val="003D5EE6"/>
    <w:rsid w:val="00410EFC"/>
    <w:rsid w:val="00412247"/>
    <w:rsid w:val="00420738"/>
    <w:rsid w:val="004208F3"/>
    <w:rsid w:val="00421614"/>
    <w:rsid w:val="0043714F"/>
    <w:rsid w:val="00464600"/>
    <w:rsid w:val="00476C35"/>
    <w:rsid w:val="004B391C"/>
    <w:rsid w:val="004F1FA7"/>
    <w:rsid w:val="005047F3"/>
    <w:rsid w:val="0052122D"/>
    <w:rsid w:val="0052785B"/>
    <w:rsid w:val="0054769B"/>
    <w:rsid w:val="005576F1"/>
    <w:rsid w:val="00564D20"/>
    <w:rsid w:val="005B4BEC"/>
    <w:rsid w:val="005C0136"/>
    <w:rsid w:val="005D3842"/>
    <w:rsid w:val="006010C3"/>
    <w:rsid w:val="00624F6B"/>
    <w:rsid w:val="00642FB0"/>
    <w:rsid w:val="00671C50"/>
    <w:rsid w:val="00674221"/>
    <w:rsid w:val="006A3C72"/>
    <w:rsid w:val="006F1234"/>
    <w:rsid w:val="00700B82"/>
    <w:rsid w:val="00772B1F"/>
    <w:rsid w:val="00790CEF"/>
    <w:rsid w:val="007C0A86"/>
    <w:rsid w:val="007C17B9"/>
    <w:rsid w:val="00816C43"/>
    <w:rsid w:val="00841527"/>
    <w:rsid w:val="00855D21"/>
    <w:rsid w:val="00865002"/>
    <w:rsid w:val="008B754A"/>
    <w:rsid w:val="008E116A"/>
    <w:rsid w:val="00921001"/>
    <w:rsid w:val="00930A3B"/>
    <w:rsid w:val="009412E4"/>
    <w:rsid w:val="009470D1"/>
    <w:rsid w:val="00982D4B"/>
    <w:rsid w:val="009902E4"/>
    <w:rsid w:val="009A2FAC"/>
    <w:rsid w:val="009A613A"/>
    <w:rsid w:val="00A71295"/>
    <w:rsid w:val="00B009FF"/>
    <w:rsid w:val="00B010B1"/>
    <w:rsid w:val="00B0492B"/>
    <w:rsid w:val="00B34787"/>
    <w:rsid w:val="00B83F46"/>
    <w:rsid w:val="00B853CF"/>
    <w:rsid w:val="00BD556B"/>
    <w:rsid w:val="00BF0BE4"/>
    <w:rsid w:val="00C0772B"/>
    <w:rsid w:val="00C21098"/>
    <w:rsid w:val="00C57BE6"/>
    <w:rsid w:val="00C63985"/>
    <w:rsid w:val="00C6702E"/>
    <w:rsid w:val="00C7080A"/>
    <w:rsid w:val="00C72A48"/>
    <w:rsid w:val="00C80EB5"/>
    <w:rsid w:val="00C8183A"/>
    <w:rsid w:val="00C86CA8"/>
    <w:rsid w:val="00CB02E4"/>
    <w:rsid w:val="00CC22AD"/>
    <w:rsid w:val="00CD243A"/>
    <w:rsid w:val="00CE7579"/>
    <w:rsid w:val="00CF17F0"/>
    <w:rsid w:val="00CF4162"/>
    <w:rsid w:val="00D16CC8"/>
    <w:rsid w:val="00D25DD6"/>
    <w:rsid w:val="00D37641"/>
    <w:rsid w:val="00D57734"/>
    <w:rsid w:val="00D7058D"/>
    <w:rsid w:val="00DC5C9F"/>
    <w:rsid w:val="00DC5E4D"/>
    <w:rsid w:val="00DD4531"/>
    <w:rsid w:val="00DE3FA4"/>
    <w:rsid w:val="00DE672D"/>
    <w:rsid w:val="00DF596A"/>
    <w:rsid w:val="00E12BB2"/>
    <w:rsid w:val="00E261FB"/>
    <w:rsid w:val="00E266FC"/>
    <w:rsid w:val="00E26EB6"/>
    <w:rsid w:val="00E7327E"/>
    <w:rsid w:val="00E773A9"/>
    <w:rsid w:val="00E871E1"/>
    <w:rsid w:val="00EA2066"/>
    <w:rsid w:val="00ED05CC"/>
    <w:rsid w:val="00F03691"/>
    <w:rsid w:val="00F6734E"/>
    <w:rsid w:val="00F73121"/>
    <w:rsid w:val="00F83A18"/>
    <w:rsid w:val="00FD3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53A119"/>
  <w15:docId w15:val="{1A0F934E-63C1-4B04-B731-CB872F07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ans" w:eastAsia="SimSun"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styleId="Lienhypertexte">
    <w:name w:val="Hyperlink"/>
    <w:rPr>
      <w:color w:val="000080"/>
      <w:u w:val="single"/>
    </w:rPr>
  </w:style>
  <w:style w:type="paragraph" w:customStyle="1" w:styleId="Titre1">
    <w:name w:val="Titre1"/>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extedebulles">
    <w:name w:val="Balloon Text"/>
    <w:basedOn w:val="Normal"/>
    <w:link w:val="TextedebullesCar"/>
    <w:uiPriority w:val="99"/>
    <w:semiHidden/>
    <w:unhideWhenUsed/>
    <w:rsid w:val="00E7327E"/>
    <w:rPr>
      <w:rFonts w:ascii="Tahoma" w:hAnsi="Tahoma"/>
      <w:sz w:val="16"/>
      <w:szCs w:val="14"/>
    </w:rPr>
  </w:style>
  <w:style w:type="character" w:customStyle="1" w:styleId="TextedebullesCar">
    <w:name w:val="Texte de bulles Car"/>
    <w:basedOn w:val="Policepardfaut"/>
    <w:link w:val="Textedebulles"/>
    <w:uiPriority w:val="99"/>
    <w:semiHidden/>
    <w:rsid w:val="00E7327E"/>
    <w:rPr>
      <w:rFonts w:ascii="Tahoma" w:eastAsia="SimSun" w:hAnsi="Tahoma" w:cs="Mangal"/>
      <w:kern w:val="1"/>
      <w:sz w:val="16"/>
      <w:szCs w:val="14"/>
      <w:lang w:eastAsia="zh-CN" w:bidi="hi-IN"/>
    </w:rPr>
  </w:style>
  <w:style w:type="paragraph" w:styleId="NormalWeb">
    <w:name w:val="Normal (Web)"/>
    <w:basedOn w:val="Normal"/>
    <w:uiPriority w:val="99"/>
    <w:semiHidden/>
    <w:unhideWhenUsed/>
    <w:rsid w:val="00930A3B"/>
    <w:pPr>
      <w:widowControl/>
      <w:suppressAutoHyphens w:val="0"/>
    </w:pPr>
    <w:rPr>
      <w:rFonts w:ascii="Times New Roman" w:eastAsia="Calibri" w:hAnsi="Times New Roman" w:cs="Times New Roman"/>
      <w:kern w:val="0"/>
      <w:lang w:eastAsia="fr-FR" w:bidi="ar-SA"/>
    </w:rPr>
  </w:style>
  <w:style w:type="paragraph" w:styleId="Paragraphedeliste">
    <w:name w:val="List Paragraph"/>
    <w:basedOn w:val="Normal"/>
    <w:uiPriority w:val="34"/>
    <w:qFormat/>
    <w:rsid w:val="00930A3B"/>
    <w:pPr>
      <w:ind w:left="720"/>
      <w:contextualSpacing/>
    </w:pPr>
    <w:rPr>
      <w:szCs w:val="21"/>
    </w:rPr>
  </w:style>
  <w:style w:type="paragraph" w:styleId="Sansinterligne">
    <w:name w:val="No Spacing"/>
    <w:uiPriority w:val="1"/>
    <w:qFormat/>
    <w:rsid w:val="000B3C06"/>
    <w:rPr>
      <w:rFonts w:ascii="Calibri" w:eastAsia="Calibri" w:hAnsi="Calibri"/>
      <w:sz w:val="22"/>
      <w:szCs w:val="22"/>
      <w:lang w:eastAsia="en-US"/>
    </w:rPr>
  </w:style>
  <w:style w:type="table" w:styleId="Grilledutableau">
    <w:name w:val="Table Grid"/>
    <w:basedOn w:val="TableauNormal"/>
    <w:uiPriority w:val="39"/>
    <w:rsid w:val="00772B1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8FB3A3257B0B354AA3B60A269D106620" ma:contentTypeVersion="17" ma:contentTypeDescription="Bibliothèque des espaces dédiés" ma:contentTypeScope="" ma:versionID="8c30ab70fd6361d79cbec9fecfb6bfdd">
  <xsd:schema xmlns:xsd="http://www.w3.org/2001/XMLSchema" xmlns:xs="http://www.w3.org/2001/XMLSchema" xmlns:p="http://schemas.microsoft.com/office/2006/metadata/properties" xmlns:ns2="e3dca99a-912a-4dbd-9097-17df5de56eef" xmlns:ns3="c326463c-6561-46fa-ac36-07e69f4adc13" targetNamespace="http://schemas.microsoft.com/office/2006/metadata/properties" ma:root="true" ma:fieldsID="506dd453755f8dbb668635eb3cd3b3b2" ns2:_="" ns3:_="">
    <xsd:import namespace="e3dca99a-912a-4dbd-9097-17df5de56eef"/>
    <xsd:import namespace="c326463c-6561-46fa-ac36-07e69f4adc13"/>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element ref="ns2:Annee" minOccurs="0"/>
                <xsd:element ref="ns3:Formulaire_x0020_trait_x00e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ca99a-912a-4dbd-9097-17df5de56eef" elementFormDefault="qualified">
    <xsd:import namespace="http://schemas.microsoft.com/office/2006/documentManagement/types"/>
    <xsd:import namespace="http://schemas.microsoft.com/office/infopath/2007/PartnerControls"/>
    <xsd:element name="yes_NatureDocument" ma:index="2" nillable="true" ma:displayName="Nature de document" ma:internalName="yes_NatureDocument">
      <xsd:simpleType>
        <xsd:restriction base="dms:Unknown"/>
      </xsd:simpleType>
    </xsd:element>
    <xsd:element name="yes_Origine" ma:index="3" nillable="true" ma:displayName="Origine" ma:default="-1;#Urbanisme - Développement durable|2a43ee9b-6cda-4520-a72a-5a5ba838fa17" ma:internalName="yes_Origine">
      <xsd:simpleType>
        <xsd:restriction base="dms:Unknown"/>
      </xsd:simpleType>
    </xsd:element>
    <xsd:element name="yes_Processus" ma:index="4" nillable="true" ma:displayName="Processus" ma:internalName="yes_Processus">
      <xsd:simpleType>
        <xsd:restriction base="dms:Unknown"/>
      </xsd:simpleType>
    </xsd:element>
    <xsd:element name="yes_Archive" ma:index="5" nillable="true" ma:displayName="Archive" ma:default="0" ma:internalName="yes_Archive">
      <xsd:simpleType>
        <xsd:restriction base="dms:Boolean"/>
      </xsd:simpleType>
    </xsd:element>
    <xsd:element name="Annee" ma:index="12" nillable="true" ma:displayName="Année" ma:default="2022|3387f161-0ff4-d331-7120-b60cd3f33eaa" ma:internalName="Anne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26463c-6561-46fa-ac36-07e69f4adc13" elementFormDefault="qualified">
    <xsd:import namespace="http://schemas.microsoft.com/office/2006/documentManagement/types"/>
    <xsd:import namespace="http://schemas.microsoft.com/office/infopath/2007/PartnerControls"/>
    <xsd:element name="Formulaire_x0020_trait_x00e9_" ma:index="13" nillable="true" ma:displayName="Formulaire traité" ma:internalName="Formulaire_x0020_trait_x00e9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Processus xmlns="e3dca99a-912a-4dbd-9097-17df5de56eef" xsi:nil="true"/>
    <Annee xmlns="e3dca99a-912a-4dbd-9097-17df5de56eef">2022|3387f161-0ff4-d331-7120-b60cd3f33eaa</Annee>
    <yes_Origine xmlns="e3dca99a-912a-4dbd-9097-17df5de56eef">-1;#Urbanisme - Développement durable|2a43ee9b-6cda-4520-a72a-5a5ba838fa17</yes_Origine>
    <yes_Archive xmlns="e3dca99a-912a-4dbd-9097-17df5de56eef">false</yes_Archive>
    <Formulaire_x0020_trait_x00e9_ xmlns="c326463c-6561-46fa-ac36-07e69f4adc13" xsi:nil="true"/>
    <yes_NatureDocument xmlns="e3dca99a-912a-4dbd-9097-17df5de56eef" xsi:nil="true"/>
  </documentManagement>
</p:properties>
</file>

<file path=customXml/itemProps1.xml><?xml version="1.0" encoding="utf-8"?>
<ds:datastoreItem xmlns:ds="http://schemas.openxmlformats.org/officeDocument/2006/customXml" ds:itemID="{1BC19625-A500-4EE5-9578-633479978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ca99a-912a-4dbd-9097-17df5de56eef"/>
    <ds:schemaRef ds:uri="c326463c-6561-46fa-ac36-07e69f4ad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A3AE0-57E2-425F-B00F-DF8FE5F50E3C}">
  <ds:schemaRefs>
    <ds:schemaRef ds:uri="http://schemas.microsoft.com/sharepoint/v3/contenttype/forms"/>
  </ds:schemaRefs>
</ds:datastoreItem>
</file>

<file path=customXml/itemProps3.xml><?xml version="1.0" encoding="utf-8"?>
<ds:datastoreItem xmlns:ds="http://schemas.openxmlformats.org/officeDocument/2006/customXml" ds:itemID="{D0B37ED9-45E8-4A1B-B315-E70240D066B5}">
  <ds:schemaRefs>
    <ds:schemaRef ds:uri="http://www.w3.org/XML/1998/namespace"/>
    <ds:schemaRef ds:uri="e3dca99a-912a-4dbd-9097-17df5de56eef"/>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c326463c-6561-46fa-ac36-07e69f4adc1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766</Words>
  <Characters>4216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avis_au_public_affichage_et_presse MN2</dc:title>
  <dc:creator>Hélène</dc:creator>
  <cp:lastModifiedBy>Jean-Bernard GABLAIN</cp:lastModifiedBy>
  <cp:revision>15</cp:revision>
  <cp:lastPrinted>2016-03-15T16:21:00Z</cp:lastPrinted>
  <dcterms:created xsi:type="dcterms:W3CDTF">2022-05-05T13:38:00Z</dcterms:created>
  <dcterms:modified xsi:type="dcterms:W3CDTF">2022-05-09T12:20:00Z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0x010100B3669A6B9A7E4EE5877FE38FDB8B9919008FB3A3257B0B354AA3B60A269D106620</vt:lpwstr>
  </property>
  <property fmtid="{D5CDD505-2E9C-101B-9397-08002B2CF9AE}" pid="3" name="sg_NomDoc">
    <vt:lpwstr>https://intranet.grandperigueux.fr/up/_layouts/15/Yes.SherpaGed/ficheDocumentaire.aspx?FilterField1=UniqueIdDoc&amp;FilterValue1=824efa95-a5c6-4320-b478-80f078282cec, avis_au_public_affichage_et_presse MN2</vt:lpwstr>
  </property>
  <property fmtid="{D5CDD505-2E9C-101B-9397-08002B2CF9AE}" pid="4" name="et_SuppProjetFinWF">
    <vt:bool>true</vt:bool>
  </property>
  <property fmtid="{D5CDD505-2E9C-101B-9397-08002B2CF9AE}" pid="5" name="fd_EtatPublication">
    <vt:lpwstr>A publier</vt:lpwstr>
  </property>
  <property fmtid="{D5CDD505-2E9C-101B-9397-08002B2CF9AE}" pid="6" name="sg_ConstCircuitAuto">
    <vt:bool>false</vt:bool>
  </property>
  <property fmtid="{D5CDD505-2E9C-101B-9397-08002B2CF9AE}" pid="7" name="sg_ResponsableDocument">
    <vt:lpwstr>168</vt:lpwstr>
  </property>
</Properties>
</file>